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D456" w14:textId="7F3260CF" w:rsidR="00AE78E8" w:rsidRDefault="00AE78E8" w:rsidP="00AE78E8">
      <w:pPr>
        <w:spacing w:line="276" w:lineRule="auto"/>
        <w:rPr>
          <w:rFonts w:ascii="Arial" w:hAnsi="Arial" w:cs="Arial"/>
          <w:sz w:val="22"/>
          <w:szCs w:val="22"/>
        </w:rPr>
      </w:pPr>
      <w:r>
        <w:rPr>
          <w:rFonts w:ascii="Arial" w:hAnsi="Arial" w:cs="Arial"/>
          <w:sz w:val="22"/>
          <w:szCs w:val="22"/>
        </w:rPr>
        <w:t>TO SEND:</w:t>
      </w:r>
    </w:p>
    <w:p w14:paraId="30068C08" w14:textId="77777777" w:rsidR="00AE78E8" w:rsidRDefault="00AE78E8" w:rsidP="00AE78E8">
      <w:pPr>
        <w:spacing w:line="276" w:lineRule="auto"/>
        <w:rPr>
          <w:rFonts w:ascii="Arial" w:hAnsi="Arial" w:cs="Arial"/>
          <w:sz w:val="22"/>
          <w:szCs w:val="22"/>
        </w:rPr>
      </w:pPr>
    </w:p>
    <w:p w14:paraId="018EEFF4" w14:textId="546FB58A" w:rsidR="00AE78E8" w:rsidRDefault="00AE78E8" w:rsidP="00AE78E8">
      <w:pPr>
        <w:spacing w:line="276" w:lineRule="auto"/>
        <w:rPr>
          <w:rFonts w:ascii="Arial" w:hAnsi="Arial" w:cs="Arial"/>
          <w:sz w:val="22"/>
          <w:szCs w:val="22"/>
        </w:rPr>
      </w:pPr>
      <w:r>
        <w:rPr>
          <w:rFonts w:ascii="Arial" w:hAnsi="Arial" w:cs="Arial"/>
          <w:sz w:val="22"/>
          <w:szCs w:val="22"/>
        </w:rPr>
        <w:t>We are looking for experts who would like to contribute on any of the panels – see in attached file.</w:t>
      </w:r>
    </w:p>
    <w:p w14:paraId="2E4C39E5" w14:textId="77777777"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Making Access Real: Disability Inclusion (P36)</w:t>
      </w:r>
    </w:p>
    <w:p w14:paraId="1CEA5C7A" w14:textId="4A9F9224" w:rsidR="00AE78E8" w:rsidRPr="00AE78E8" w:rsidRDefault="00AE78E8" w:rsidP="003E2601">
      <w:pPr>
        <w:tabs>
          <w:tab w:val="num" w:pos="720"/>
        </w:tabs>
        <w:spacing w:line="276" w:lineRule="auto"/>
        <w:rPr>
          <w:rFonts w:ascii="Arial" w:hAnsi="Arial" w:cs="Arial"/>
          <w:sz w:val="22"/>
          <w:szCs w:val="22"/>
        </w:rPr>
      </w:pPr>
      <w:r w:rsidRPr="00AE78E8">
        <w:rPr>
          <w:rFonts w:ascii="Arial" w:hAnsi="Arial" w:cs="Arial"/>
          <w:sz w:val="22"/>
          <w:szCs w:val="22"/>
        </w:rPr>
        <w:t xml:space="preserve">Panel session led by Professor Anica Zeyen and Martin Hope. Contributors will share concrete examples of disability inclusion, consider what is working and honest accounts of what has proved difficult, drawing on experience from their own systems. Areas could include accessible physical and digital learning environments, disability disclosure and support services, inclusive pedagogy, staff development, and the legislative and policy frameworks that enable or hinder progress. National or institutional perspectives </w:t>
      </w:r>
      <w:proofErr w:type="gramStart"/>
      <w:r w:rsidRPr="00AE78E8">
        <w:rPr>
          <w:rFonts w:ascii="Arial" w:hAnsi="Arial" w:cs="Arial"/>
          <w:sz w:val="22"/>
          <w:szCs w:val="22"/>
        </w:rPr>
        <w:t>from</w:t>
      </w:r>
      <w:r w:rsidR="003E2601">
        <w:rPr>
          <w:rFonts w:ascii="Arial" w:hAnsi="Arial" w:cs="Arial"/>
          <w:sz w:val="22"/>
          <w:szCs w:val="22"/>
        </w:rPr>
        <w:t xml:space="preserve"> </w:t>
      </w:r>
      <w:r w:rsidRPr="00AE78E8">
        <w:rPr>
          <w:rFonts w:ascii="Arial" w:hAnsi="Arial" w:cs="Arial"/>
          <w:sz w:val="22"/>
          <w:szCs w:val="22"/>
        </w:rPr>
        <w:t xml:space="preserve"> </w:t>
      </w:r>
      <w:proofErr w:type="spellStart"/>
      <w:r w:rsidRPr="00AE78E8">
        <w:rPr>
          <w:rFonts w:ascii="Arial" w:hAnsi="Arial" w:cs="Arial"/>
          <w:sz w:val="22"/>
          <w:szCs w:val="22"/>
        </w:rPr>
        <w:t>Turkiye</w:t>
      </w:r>
      <w:proofErr w:type="spellEnd"/>
      <w:proofErr w:type="gramEnd"/>
      <w:r w:rsidR="003E2601">
        <w:rPr>
          <w:rFonts w:ascii="Arial" w:hAnsi="Arial" w:cs="Arial"/>
          <w:sz w:val="22"/>
          <w:szCs w:val="22"/>
        </w:rPr>
        <w:t xml:space="preserve">, </w:t>
      </w:r>
      <w:r w:rsidRPr="00AE78E8">
        <w:rPr>
          <w:rFonts w:ascii="Arial" w:hAnsi="Arial" w:cs="Arial"/>
          <w:sz w:val="22"/>
          <w:szCs w:val="22"/>
        </w:rPr>
        <w:t>Uzbekistan</w:t>
      </w:r>
      <w:r w:rsidR="003E2601">
        <w:rPr>
          <w:rFonts w:ascii="Arial" w:hAnsi="Arial" w:cs="Arial"/>
          <w:sz w:val="22"/>
          <w:szCs w:val="22"/>
        </w:rPr>
        <w:t xml:space="preserve">, another </w:t>
      </w:r>
      <w:r w:rsidRPr="00AE78E8">
        <w:rPr>
          <w:rFonts w:ascii="Arial" w:hAnsi="Arial" w:cs="Arial"/>
          <w:sz w:val="22"/>
          <w:szCs w:val="22"/>
        </w:rPr>
        <w:t>participating country</w:t>
      </w:r>
      <w:r w:rsidR="003E2601">
        <w:rPr>
          <w:rFonts w:ascii="Arial" w:hAnsi="Arial" w:cs="Arial"/>
          <w:sz w:val="22"/>
          <w:szCs w:val="22"/>
        </w:rPr>
        <w:t>.</w:t>
      </w:r>
    </w:p>
    <w:p w14:paraId="65EA7BF3" w14:textId="77777777"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Inclusive innovation as Europe's Research Strategy (P54)</w:t>
      </w:r>
    </w:p>
    <w:p w14:paraId="6FA20BFD" w14:textId="77777777" w:rsidR="00AE78E8" w:rsidRPr="00AE78E8" w:rsidRDefault="00AE78E8" w:rsidP="00AE78E8">
      <w:pPr>
        <w:spacing w:line="276" w:lineRule="auto"/>
        <w:rPr>
          <w:rFonts w:ascii="Arial" w:hAnsi="Arial" w:cs="Arial"/>
          <w:sz w:val="22"/>
          <w:szCs w:val="22"/>
        </w:rPr>
      </w:pPr>
      <w:r w:rsidRPr="00AE78E8">
        <w:rPr>
          <w:rFonts w:ascii="Arial" w:hAnsi="Arial" w:cs="Arial"/>
          <w:sz w:val="22"/>
          <w:szCs w:val="22"/>
        </w:rPr>
        <w:t xml:space="preserve">Panel session led by Professor Simone </w:t>
      </w:r>
      <w:proofErr w:type="spellStart"/>
      <w:r w:rsidRPr="00AE78E8">
        <w:rPr>
          <w:rFonts w:ascii="Arial" w:hAnsi="Arial" w:cs="Arial"/>
          <w:sz w:val="22"/>
          <w:szCs w:val="22"/>
        </w:rPr>
        <w:t>Buitendijk</w:t>
      </w:r>
      <w:proofErr w:type="spellEnd"/>
      <w:r w:rsidRPr="00AE78E8">
        <w:rPr>
          <w:rFonts w:ascii="Arial" w:hAnsi="Arial" w:cs="Arial"/>
          <w:sz w:val="22"/>
          <w:szCs w:val="22"/>
        </w:rPr>
        <w:t xml:space="preserve"> and Martin Hope. Drawing on emerging thinking this session argues that Europe's distinctive advantage lies in inclusive innovation - that is, research and innovation designed not only to generate economic growth, but to improve lives, strengthen social cohesion, decrease existing inequalities and create sustainable prosperity for all. Contributors will explore how universities can lead this agenda by connecting technological excellence with societal outcomes through multidisciplinary approaches to research and innovation and examine how international partnerships, particularly between the UK and other European or international research systems, can shape a globally relevant model of innovation that places people, communities, democratic values and trust at its centre. We need: </w:t>
      </w:r>
    </w:p>
    <w:p w14:paraId="36B2ECA3" w14:textId="77777777" w:rsidR="00AE78E8" w:rsidRPr="00AE78E8" w:rsidRDefault="00AE78E8" w:rsidP="00AE78E8">
      <w:pPr>
        <w:numPr>
          <w:ilvl w:val="0"/>
          <w:numId w:val="2"/>
        </w:numPr>
        <w:spacing w:line="276" w:lineRule="auto"/>
        <w:rPr>
          <w:rFonts w:ascii="Arial" w:hAnsi="Arial" w:cs="Arial"/>
          <w:sz w:val="22"/>
          <w:szCs w:val="22"/>
        </w:rPr>
      </w:pPr>
      <w:r w:rsidRPr="00AE78E8">
        <w:rPr>
          <w:rFonts w:ascii="Arial" w:hAnsi="Arial" w:cs="Arial"/>
          <w:sz w:val="22"/>
          <w:szCs w:val="22"/>
        </w:rPr>
        <w:t xml:space="preserve">A specific, concrete case (e.g. a funding gap, a brain-drain issue, an AI-access disparity) rather than a general endorsement of the theme, something that grounds "inclusive innovation" in what it </w:t>
      </w:r>
      <w:proofErr w:type="gramStart"/>
      <w:r w:rsidRPr="00AE78E8">
        <w:rPr>
          <w:rFonts w:ascii="Arial" w:hAnsi="Arial" w:cs="Arial"/>
          <w:sz w:val="22"/>
          <w:szCs w:val="22"/>
        </w:rPr>
        <w:t>actually looks</w:t>
      </w:r>
      <w:proofErr w:type="gramEnd"/>
      <w:r w:rsidRPr="00AE78E8">
        <w:rPr>
          <w:rFonts w:ascii="Arial" w:hAnsi="Arial" w:cs="Arial"/>
          <w:sz w:val="22"/>
          <w:szCs w:val="22"/>
        </w:rPr>
        <w:t xml:space="preserve"> like in a national system like Kazakhstan's or Uzbekistan's? </w:t>
      </w:r>
    </w:p>
    <w:p w14:paraId="092CE948" w14:textId="77777777" w:rsidR="00AE78E8" w:rsidRPr="00AE78E8" w:rsidRDefault="00AE78E8" w:rsidP="00AE78E8">
      <w:pPr>
        <w:numPr>
          <w:ilvl w:val="0"/>
          <w:numId w:val="2"/>
        </w:numPr>
        <w:spacing w:line="276" w:lineRule="auto"/>
        <w:rPr>
          <w:rFonts w:ascii="Arial" w:hAnsi="Arial" w:cs="Arial"/>
          <w:sz w:val="22"/>
          <w:szCs w:val="22"/>
        </w:rPr>
      </w:pPr>
      <w:r w:rsidRPr="00AE78E8">
        <w:rPr>
          <w:rFonts w:ascii="Arial" w:hAnsi="Arial" w:cs="Arial"/>
          <w:sz w:val="22"/>
          <w:szCs w:val="22"/>
        </w:rPr>
        <w:t>A speaker who can provide an institutional perspective (i.e. in the research and innovation system) rather than a university would be interesting and higher level - from any participating country.</w:t>
      </w:r>
    </w:p>
    <w:p w14:paraId="1AFE2E40" w14:textId="77777777"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How can technological university models catalyse innovation, employability and regional economic growth? (P32)</w:t>
      </w:r>
    </w:p>
    <w:p w14:paraId="4260293A" w14:textId="230DCDCF" w:rsidR="00AE78E8" w:rsidRPr="00AE78E8" w:rsidRDefault="00AE78E8" w:rsidP="003E2601">
      <w:pPr>
        <w:tabs>
          <w:tab w:val="num" w:pos="720"/>
        </w:tabs>
        <w:spacing w:line="276" w:lineRule="auto"/>
        <w:rPr>
          <w:rFonts w:ascii="Arial" w:hAnsi="Arial" w:cs="Arial"/>
          <w:sz w:val="22"/>
          <w:szCs w:val="22"/>
        </w:rPr>
      </w:pPr>
      <w:r w:rsidRPr="00AE78E8">
        <w:rPr>
          <w:rFonts w:ascii="Arial" w:hAnsi="Arial" w:cs="Arial"/>
          <w:sz w:val="22"/>
          <w:szCs w:val="22"/>
        </w:rPr>
        <w:t>Panel session led by Nesma Mostafa and Susie Carmody. The session will include an interactive case-study discussion using the Egypt Technological Universities research as a starting point, enriched by German and regional perspectives, and focused on examining how emerging technical university models address future challenges around relevance, equity and quality. The preference is for a panel that combines Egypt case study insights, international partnership experience and regional perspectives from conference host-region countries. Potential contributors could be from</w:t>
      </w:r>
      <w:r w:rsidR="003E2601">
        <w:rPr>
          <w:rFonts w:ascii="Arial" w:hAnsi="Arial" w:cs="Arial"/>
          <w:sz w:val="22"/>
          <w:szCs w:val="22"/>
        </w:rPr>
        <w:t xml:space="preserve"> </w:t>
      </w:r>
      <w:r w:rsidRPr="00AE78E8">
        <w:rPr>
          <w:rFonts w:ascii="Arial" w:hAnsi="Arial" w:cs="Arial"/>
          <w:sz w:val="22"/>
          <w:szCs w:val="22"/>
        </w:rPr>
        <w:t>Germany (existing partnerships with Egyptian technological universities)</w:t>
      </w:r>
      <w:r w:rsidR="003E2601">
        <w:rPr>
          <w:rFonts w:ascii="Arial" w:hAnsi="Arial" w:cs="Arial"/>
          <w:sz w:val="22"/>
          <w:szCs w:val="22"/>
        </w:rPr>
        <w:t xml:space="preserve">, </w:t>
      </w:r>
      <w:proofErr w:type="spellStart"/>
      <w:r w:rsidRPr="00AE78E8">
        <w:rPr>
          <w:rFonts w:ascii="Arial" w:hAnsi="Arial" w:cs="Arial"/>
          <w:sz w:val="22"/>
          <w:szCs w:val="22"/>
        </w:rPr>
        <w:t>Turkiye</w:t>
      </w:r>
      <w:proofErr w:type="spellEnd"/>
      <w:r w:rsidRPr="00AE78E8">
        <w:rPr>
          <w:rFonts w:ascii="Arial" w:hAnsi="Arial" w:cs="Arial"/>
          <w:sz w:val="22"/>
          <w:szCs w:val="22"/>
        </w:rPr>
        <w:t xml:space="preserve"> (possible comparable technical education models and strong links with Germany)</w:t>
      </w:r>
      <w:r w:rsidR="003E2601">
        <w:rPr>
          <w:rFonts w:ascii="Arial" w:hAnsi="Arial" w:cs="Arial"/>
          <w:sz w:val="22"/>
          <w:szCs w:val="22"/>
        </w:rPr>
        <w:t xml:space="preserve"> and </w:t>
      </w:r>
      <w:r w:rsidRPr="00AE78E8">
        <w:rPr>
          <w:rFonts w:ascii="Arial" w:hAnsi="Arial" w:cs="Arial"/>
          <w:sz w:val="22"/>
          <w:szCs w:val="22"/>
        </w:rPr>
        <w:t>any participating country</w:t>
      </w:r>
      <w:r w:rsidR="003E2601">
        <w:rPr>
          <w:rFonts w:ascii="Arial" w:hAnsi="Arial" w:cs="Arial"/>
          <w:sz w:val="22"/>
          <w:szCs w:val="22"/>
        </w:rPr>
        <w:t>.</w:t>
      </w:r>
    </w:p>
    <w:p w14:paraId="7E1A5F59" w14:textId="77777777"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Just transition and tertiary education (S03)</w:t>
      </w:r>
    </w:p>
    <w:p w14:paraId="444C1636" w14:textId="3B5B4B9E" w:rsidR="00AE78E8" w:rsidRPr="00AE78E8" w:rsidRDefault="00AE78E8" w:rsidP="003E2601">
      <w:pPr>
        <w:tabs>
          <w:tab w:val="num" w:pos="720"/>
        </w:tabs>
        <w:spacing w:line="276" w:lineRule="auto"/>
        <w:rPr>
          <w:rFonts w:ascii="Arial" w:hAnsi="Arial" w:cs="Arial"/>
          <w:sz w:val="22"/>
          <w:szCs w:val="22"/>
        </w:rPr>
      </w:pPr>
      <w:r w:rsidRPr="00AE78E8">
        <w:rPr>
          <w:rFonts w:ascii="Arial" w:hAnsi="Arial" w:cs="Arial"/>
          <w:sz w:val="22"/>
          <w:szCs w:val="22"/>
        </w:rPr>
        <w:lastRenderedPageBreak/>
        <w:t xml:space="preserve">Panel session led by Tuncay </w:t>
      </w:r>
      <w:proofErr w:type="spellStart"/>
      <w:r w:rsidRPr="00AE78E8">
        <w:rPr>
          <w:rFonts w:ascii="Arial" w:hAnsi="Arial" w:cs="Arial"/>
          <w:sz w:val="22"/>
          <w:szCs w:val="22"/>
        </w:rPr>
        <w:t>Dogeroglu</w:t>
      </w:r>
      <w:proofErr w:type="spellEnd"/>
      <w:r w:rsidRPr="00AE78E8">
        <w:rPr>
          <w:rFonts w:ascii="Arial" w:hAnsi="Arial" w:cs="Arial"/>
          <w:sz w:val="22"/>
          <w:szCs w:val="22"/>
        </w:rPr>
        <w:t>. Universities are not only educational institutions within the Just Transition Strategy; they are also knowledge producers, skill transformers, regional development actors, policy advisors, and institutions that build social trust. In this context, universities also serve as skill transformation </w:t>
      </w:r>
      <w:r w:rsidR="003E2601" w:rsidRPr="00AE78E8">
        <w:rPr>
          <w:rFonts w:ascii="Arial" w:hAnsi="Arial" w:cs="Arial"/>
          <w:sz w:val="22"/>
          <w:szCs w:val="22"/>
        </w:rPr>
        <w:t>centres</w:t>
      </w:r>
      <w:r w:rsidRPr="00AE78E8">
        <w:rPr>
          <w:rFonts w:ascii="Arial" w:hAnsi="Arial" w:cs="Arial"/>
          <w:sz w:val="22"/>
          <w:szCs w:val="22"/>
        </w:rPr>
        <w:t xml:space="preserve"> for the new workforce, engines of regional economic transformation, </w:t>
      </w:r>
      <w:r w:rsidR="003E2601" w:rsidRPr="00AE78E8">
        <w:rPr>
          <w:rFonts w:ascii="Arial" w:hAnsi="Arial" w:cs="Arial"/>
          <w:sz w:val="22"/>
          <w:szCs w:val="22"/>
        </w:rPr>
        <w:t>centres</w:t>
      </w:r>
      <w:r w:rsidRPr="00AE78E8">
        <w:rPr>
          <w:rFonts w:ascii="Arial" w:hAnsi="Arial" w:cs="Arial"/>
          <w:sz w:val="22"/>
          <w:szCs w:val="22"/>
        </w:rPr>
        <w:t xml:space="preserve"> for policy and data production, platforms for social dialogue and trust, R&amp;D and technology development </w:t>
      </w:r>
      <w:r w:rsidR="003E2601" w:rsidRPr="00AE78E8">
        <w:rPr>
          <w:rFonts w:ascii="Arial" w:hAnsi="Arial" w:cs="Arial"/>
          <w:sz w:val="22"/>
          <w:szCs w:val="22"/>
        </w:rPr>
        <w:t>centres</w:t>
      </w:r>
      <w:r w:rsidRPr="00AE78E8">
        <w:rPr>
          <w:rFonts w:ascii="Arial" w:hAnsi="Arial" w:cs="Arial"/>
          <w:sz w:val="22"/>
          <w:szCs w:val="22"/>
        </w:rPr>
        <w:t>, role models on their campuses, and cultivators of next-generation leaders. The panel will seek answers to the question "Are universities merely institutions that adapt to transformation? Or are they the designers and accelerators of the things used?". We're looking for a panel to share experiences from the perspectives</w:t>
      </w:r>
      <w:r w:rsidR="003E2601">
        <w:rPr>
          <w:rFonts w:ascii="Arial" w:hAnsi="Arial" w:cs="Arial"/>
          <w:sz w:val="22"/>
          <w:szCs w:val="22"/>
        </w:rPr>
        <w:t xml:space="preserve"> of u</w:t>
      </w:r>
      <w:r w:rsidRPr="00AE78E8">
        <w:rPr>
          <w:rFonts w:ascii="Arial" w:hAnsi="Arial" w:cs="Arial"/>
          <w:sz w:val="22"/>
          <w:szCs w:val="22"/>
        </w:rPr>
        <w:t xml:space="preserve">niversity leader, sector representative, </w:t>
      </w:r>
      <w:r w:rsidR="003E2601" w:rsidRPr="00AE78E8">
        <w:rPr>
          <w:rFonts w:ascii="Arial" w:hAnsi="Arial" w:cs="Arial"/>
          <w:sz w:val="22"/>
          <w:szCs w:val="22"/>
        </w:rPr>
        <w:t>public</w:t>
      </w:r>
      <w:r w:rsidRPr="00AE78E8">
        <w:rPr>
          <w:rFonts w:ascii="Arial" w:hAnsi="Arial" w:cs="Arial"/>
          <w:sz w:val="22"/>
          <w:szCs w:val="22"/>
        </w:rPr>
        <w:t>/policymaker, and student representative</w:t>
      </w:r>
      <w:r w:rsidR="003E2601">
        <w:rPr>
          <w:rFonts w:ascii="Arial" w:hAnsi="Arial" w:cs="Arial"/>
          <w:sz w:val="22"/>
          <w:szCs w:val="22"/>
        </w:rPr>
        <w:t xml:space="preserve"> </w:t>
      </w:r>
      <w:r w:rsidRPr="00AE78E8">
        <w:rPr>
          <w:rFonts w:ascii="Arial" w:hAnsi="Arial" w:cs="Arial"/>
          <w:sz w:val="22"/>
          <w:szCs w:val="22"/>
        </w:rPr>
        <w:t>from any participating country </w:t>
      </w:r>
    </w:p>
    <w:p w14:paraId="5949A5A4" w14:textId="77777777" w:rsidR="003E2601" w:rsidRDefault="003E2601" w:rsidP="00AE78E8">
      <w:pPr>
        <w:spacing w:line="276" w:lineRule="auto"/>
        <w:rPr>
          <w:rFonts w:ascii="Arial" w:hAnsi="Arial" w:cs="Arial"/>
          <w:b/>
          <w:bCs/>
          <w:sz w:val="22"/>
          <w:szCs w:val="22"/>
          <w:u w:val="single"/>
        </w:rPr>
      </w:pPr>
    </w:p>
    <w:p w14:paraId="688C794D" w14:textId="3870C530"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The University of the Future (S10)</w:t>
      </w:r>
    </w:p>
    <w:p w14:paraId="70166BD7" w14:textId="77777777" w:rsidR="00AE78E8" w:rsidRPr="00AE78E8" w:rsidRDefault="00AE78E8" w:rsidP="00AE78E8">
      <w:pPr>
        <w:spacing w:line="276" w:lineRule="auto"/>
        <w:rPr>
          <w:rFonts w:ascii="Arial" w:hAnsi="Arial" w:cs="Arial"/>
          <w:sz w:val="22"/>
          <w:szCs w:val="22"/>
        </w:rPr>
      </w:pPr>
      <w:r w:rsidRPr="00AE78E8">
        <w:rPr>
          <w:rFonts w:ascii="Arial" w:hAnsi="Arial" w:cs="Arial"/>
          <w:sz w:val="22"/>
          <w:szCs w:val="22"/>
        </w:rPr>
        <w:t>Case study presentation, commentary and Q&amp;A led by Nino Enukidze and chaired by Prof. Dr. Nino Gachechiladze. This session presents the findings and institutional reflections emerging from Business and Technology University's (BTU) ongoing research on the concept of the "University of the Future." Delivered by the Head of BTU's Research Center, the 30-minute presentation will examine how artificial intelligence, research excellence, digital transformation, entrepreneurship, and international collaboration are reshaping higher education institutions and will illustrate these findings through BTU's own institutional experience as a practical case study. The presentation will connect the research framework with concrete examples, demonstrating how AI-enabled ecosystems can strengthen institutional capacity, quality assurance, innovation, and global engagement. </w:t>
      </w:r>
    </w:p>
    <w:p w14:paraId="27341463" w14:textId="77777777" w:rsidR="00AE78E8" w:rsidRPr="00AE78E8" w:rsidRDefault="00AE78E8" w:rsidP="00AE78E8">
      <w:pPr>
        <w:numPr>
          <w:ilvl w:val="0"/>
          <w:numId w:val="6"/>
        </w:numPr>
        <w:spacing w:line="276" w:lineRule="auto"/>
        <w:rPr>
          <w:rFonts w:ascii="Arial" w:hAnsi="Arial" w:cs="Arial"/>
          <w:sz w:val="22"/>
          <w:szCs w:val="22"/>
        </w:rPr>
      </w:pPr>
      <w:r w:rsidRPr="00AE78E8">
        <w:rPr>
          <w:rFonts w:ascii="Arial" w:hAnsi="Arial" w:cs="Arial"/>
          <w:sz w:val="22"/>
          <w:szCs w:val="22"/>
        </w:rPr>
        <w:t>Expert Reflection 1 - International Higher Education Expert to provide an international perspective on BTU's model and reflect on transferability, policy implications and global trends (10 mins) - any participating country </w:t>
      </w:r>
    </w:p>
    <w:p w14:paraId="13FEE86B" w14:textId="77777777" w:rsidR="00AE78E8" w:rsidRPr="00AE78E8" w:rsidRDefault="00AE78E8" w:rsidP="00AE78E8">
      <w:pPr>
        <w:numPr>
          <w:ilvl w:val="0"/>
          <w:numId w:val="6"/>
        </w:numPr>
        <w:spacing w:line="276" w:lineRule="auto"/>
        <w:rPr>
          <w:rFonts w:ascii="Arial" w:hAnsi="Arial" w:cs="Arial"/>
          <w:sz w:val="22"/>
          <w:szCs w:val="22"/>
        </w:rPr>
      </w:pPr>
      <w:r w:rsidRPr="00AE78E8">
        <w:rPr>
          <w:rFonts w:ascii="Arial" w:hAnsi="Arial" w:cs="Arial"/>
          <w:sz w:val="22"/>
          <w:szCs w:val="22"/>
        </w:rPr>
        <w:t>Expert Reflection 2 - University Leader / Research &amp; Innovation Expert to discuss complementary experiences and future collaboration opportunities as well as offering critical reflections on future-ready universities (10 mins) - any participating country </w:t>
      </w:r>
    </w:p>
    <w:p w14:paraId="35270B2B" w14:textId="77777777" w:rsidR="00AE78E8" w:rsidRDefault="00AE78E8" w:rsidP="00AE78E8">
      <w:pPr>
        <w:spacing w:line="276" w:lineRule="auto"/>
        <w:rPr>
          <w:rFonts w:ascii="Arial" w:hAnsi="Arial" w:cs="Arial"/>
          <w:b/>
          <w:bCs/>
          <w:sz w:val="22"/>
          <w:szCs w:val="22"/>
          <w:u w:val="single"/>
        </w:rPr>
      </w:pPr>
    </w:p>
    <w:p w14:paraId="35E4303C" w14:textId="77777777" w:rsidR="00AE78E8" w:rsidRPr="00AE78E8" w:rsidRDefault="00AE78E8" w:rsidP="00AE78E8">
      <w:pPr>
        <w:spacing w:line="276" w:lineRule="auto"/>
        <w:rPr>
          <w:rFonts w:ascii="Arial" w:hAnsi="Arial" w:cs="Arial"/>
          <w:sz w:val="22"/>
          <w:szCs w:val="22"/>
        </w:rPr>
      </w:pPr>
      <w:r w:rsidRPr="00AE78E8">
        <w:rPr>
          <w:rFonts w:ascii="Arial" w:hAnsi="Arial" w:cs="Arial"/>
          <w:b/>
          <w:bCs/>
          <w:sz w:val="22"/>
          <w:szCs w:val="22"/>
          <w:u w:val="single"/>
        </w:rPr>
        <w:t>The New Education Silk Road (S15) </w:t>
      </w:r>
    </w:p>
    <w:p w14:paraId="0E1B4FCE" w14:textId="77777777" w:rsidR="00AE78E8" w:rsidRPr="00AE78E8" w:rsidRDefault="00AE78E8" w:rsidP="00AE78E8">
      <w:pPr>
        <w:spacing w:line="276" w:lineRule="auto"/>
        <w:rPr>
          <w:rFonts w:ascii="Arial" w:hAnsi="Arial" w:cs="Arial"/>
          <w:sz w:val="22"/>
          <w:szCs w:val="22"/>
        </w:rPr>
      </w:pPr>
      <w:r w:rsidRPr="00AE78E8">
        <w:rPr>
          <w:rFonts w:ascii="Arial" w:hAnsi="Arial" w:cs="Arial"/>
          <w:sz w:val="22"/>
          <w:szCs w:val="22"/>
        </w:rPr>
        <w:t>Panel session led by Eduardo Ramos and chaired by Professor Jason Lane. Session explores how transnational education (TNE) has become an increasingly important policy tool for governments seeking to align higher education with national development goals. Speaker required: </w:t>
      </w:r>
    </w:p>
    <w:p w14:paraId="48D15BCA" w14:textId="77777777" w:rsidR="00AE78E8" w:rsidRPr="00AE78E8" w:rsidRDefault="00AE78E8" w:rsidP="00AE78E8">
      <w:pPr>
        <w:numPr>
          <w:ilvl w:val="0"/>
          <w:numId w:val="7"/>
        </w:numPr>
        <w:spacing w:line="276" w:lineRule="auto"/>
        <w:rPr>
          <w:rFonts w:ascii="Arial" w:hAnsi="Arial" w:cs="Arial"/>
          <w:sz w:val="22"/>
          <w:szCs w:val="22"/>
        </w:rPr>
      </w:pPr>
      <w:r w:rsidRPr="00AE78E8">
        <w:rPr>
          <w:rFonts w:ascii="Arial" w:hAnsi="Arial" w:cs="Arial"/>
          <w:sz w:val="22"/>
          <w:szCs w:val="22"/>
        </w:rPr>
        <w:t>1x Uzbekistan One of the fastest-growing TNE markets globally, aim to liberalise higher education, attract foreign providers, and expand access for a growing youth population, creating significant opportunities for large-scale partnerships. </w:t>
      </w:r>
    </w:p>
    <w:p w14:paraId="22BB38F0" w14:textId="77777777" w:rsidR="00AE78E8" w:rsidRPr="00AE78E8" w:rsidRDefault="00AE78E8" w:rsidP="00AE78E8">
      <w:pPr>
        <w:numPr>
          <w:ilvl w:val="0"/>
          <w:numId w:val="7"/>
        </w:numPr>
        <w:spacing w:line="276" w:lineRule="auto"/>
        <w:rPr>
          <w:rFonts w:ascii="Arial" w:hAnsi="Arial" w:cs="Arial"/>
          <w:sz w:val="22"/>
          <w:szCs w:val="22"/>
        </w:rPr>
      </w:pPr>
      <w:r w:rsidRPr="00AE78E8">
        <w:rPr>
          <w:rFonts w:ascii="Arial" w:hAnsi="Arial" w:cs="Arial"/>
          <w:sz w:val="22"/>
          <w:szCs w:val="22"/>
        </w:rPr>
        <w:t xml:space="preserve">1x </w:t>
      </w:r>
      <w:proofErr w:type="spellStart"/>
      <w:r w:rsidRPr="00AE78E8">
        <w:rPr>
          <w:rFonts w:ascii="Arial" w:hAnsi="Arial" w:cs="Arial"/>
          <w:sz w:val="22"/>
          <w:szCs w:val="22"/>
        </w:rPr>
        <w:t>Turkiye</w:t>
      </w:r>
      <w:proofErr w:type="spellEnd"/>
      <w:r w:rsidRPr="00AE78E8">
        <w:rPr>
          <w:rFonts w:ascii="Arial" w:hAnsi="Arial" w:cs="Arial"/>
          <w:sz w:val="22"/>
          <w:szCs w:val="22"/>
        </w:rPr>
        <w:t> Explore the distinct role as a regional connector. It attracts Central Asian students, promotes academic networks, and is expanding its own TNE footprint. Highlight the potential of multi-country partnerships to strengthen regional collaboration. </w:t>
      </w:r>
    </w:p>
    <w:p w14:paraId="03841FE4" w14:textId="77777777" w:rsidR="00AE78E8" w:rsidRPr="00AE78E8" w:rsidRDefault="00AE78E8" w:rsidP="00AE78E8">
      <w:pPr>
        <w:numPr>
          <w:ilvl w:val="0"/>
          <w:numId w:val="7"/>
        </w:numPr>
        <w:spacing w:line="276" w:lineRule="auto"/>
        <w:rPr>
          <w:rFonts w:ascii="Arial" w:hAnsi="Arial" w:cs="Arial"/>
          <w:sz w:val="22"/>
          <w:szCs w:val="22"/>
        </w:rPr>
      </w:pPr>
      <w:r w:rsidRPr="00AE78E8">
        <w:rPr>
          <w:rFonts w:ascii="Arial" w:hAnsi="Arial" w:cs="Arial"/>
          <w:sz w:val="22"/>
          <w:szCs w:val="22"/>
        </w:rPr>
        <w:lastRenderedPageBreak/>
        <w:t>1x Kazakhstan</w:t>
      </w:r>
      <w:r w:rsidRPr="00AE78E8">
        <w:rPr>
          <w:rFonts w:ascii="Arial" w:hAnsi="Arial" w:cs="Arial"/>
          <w:sz w:val="22"/>
          <w:szCs w:val="22"/>
        </w:rPr>
        <w:t> </w:t>
      </w:r>
      <w:r w:rsidRPr="00AE78E8">
        <w:rPr>
          <w:rFonts w:ascii="Arial" w:hAnsi="Arial" w:cs="Arial"/>
          <w:sz w:val="22"/>
          <w:szCs w:val="22"/>
        </w:rPr>
        <w:t> The shift from rapid expansion to strategic consolidation, prioritising high-value collaborations aligned with sectors such as AI, biotech, and medicine and where focus is increasingly on quality, research impact, and workforce alignment.</w:t>
      </w:r>
    </w:p>
    <w:p w14:paraId="45844EE5" w14:textId="403AFEDE" w:rsidR="00AE78E8" w:rsidRPr="00AE78E8" w:rsidRDefault="00AE78E8" w:rsidP="003E2601">
      <w:pPr>
        <w:numPr>
          <w:ilvl w:val="0"/>
          <w:numId w:val="7"/>
        </w:numPr>
        <w:spacing w:line="276" w:lineRule="auto"/>
        <w:rPr>
          <w:rFonts w:ascii="Arial" w:hAnsi="Arial" w:cs="Arial"/>
          <w:sz w:val="22"/>
          <w:szCs w:val="22"/>
        </w:rPr>
      </w:pPr>
      <w:r w:rsidRPr="00AE78E8">
        <w:rPr>
          <w:rFonts w:ascii="Arial" w:hAnsi="Arial" w:cs="Arial"/>
          <w:sz w:val="22"/>
          <w:szCs w:val="22"/>
        </w:rPr>
        <w:t>Potential to include 1x Egypt</w:t>
      </w:r>
      <w:r w:rsidRPr="00AE78E8">
        <w:rPr>
          <w:rFonts w:ascii="Arial" w:hAnsi="Arial" w:cs="Arial"/>
          <w:sz w:val="22"/>
          <w:szCs w:val="22"/>
        </w:rPr>
        <w:t> </w:t>
      </w:r>
      <w:r w:rsidRPr="00AE78E8">
        <w:rPr>
          <w:rFonts w:ascii="Arial" w:hAnsi="Arial" w:cs="Arial"/>
          <w:sz w:val="22"/>
          <w:szCs w:val="22"/>
        </w:rPr>
        <w:t> </w:t>
      </w:r>
      <w:r w:rsidRPr="00AE78E8">
        <w:rPr>
          <w:rFonts w:ascii="Arial" w:hAnsi="Arial" w:cs="Arial"/>
          <w:sz w:val="22"/>
          <w:szCs w:val="22"/>
        </w:rPr>
        <w:t> </w:t>
      </w:r>
    </w:p>
    <w:sectPr w:rsidR="00AE78E8" w:rsidRPr="00AE7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596"/>
    <w:multiLevelType w:val="multilevel"/>
    <w:tmpl w:val="5CB26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135B5E"/>
    <w:multiLevelType w:val="multilevel"/>
    <w:tmpl w:val="F55A3A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A1694F"/>
    <w:multiLevelType w:val="multilevel"/>
    <w:tmpl w:val="85B27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8E53AA"/>
    <w:multiLevelType w:val="multilevel"/>
    <w:tmpl w:val="E376E8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711A4E"/>
    <w:multiLevelType w:val="multilevel"/>
    <w:tmpl w:val="968605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252477"/>
    <w:multiLevelType w:val="multilevel"/>
    <w:tmpl w:val="20560B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C62955"/>
    <w:multiLevelType w:val="multilevel"/>
    <w:tmpl w:val="98D8F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97461779">
    <w:abstractNumId w:val="0"/>
    <w:lvlOverride w:ilvl="0"/>
    <w:lvlOverride w:ilvl="1"/>
    <w:lvlOverride w:ilvl="2"/>
    <w:lvlOverride w:ilvl="3"/>
    <w:lvlOverride w:ilvl="4"/>
    <w:lvlOverride w:ilvl="5"/>
    <w:lvlOverride w:ilvl="6"/>
    <w:lvlOverride w:ilvl="7"/>
    <w:lvlOverride w:ilvl="8"/>
  </w:num>
  <w:num w:numId="2" w16cid:durableId="222762716">
    <w:abstractNumId w:val="6"/>
    <w:lvlOverride w:ilvl="0"/>
    <w:lvlOverride w:ilvl="1"/>
    <w:lvlOverride w:ilvl="2"/>
    <w:lvlOverride w:ilvl="3"/>
    <w:lvlOverride w:ilvl="4"/>
    <w:lvlOverride w:ilvl="5"/>
    <w:lvlOverride w:ilvl="6"/>
    <w:lvlOverride w:ilvl="7"/>
    <w:lvlOverride w:ilvl="8"/>
  </w:num>
  <w:num w:numId="3" w16cid:durableId="1015570877">
    <w:abstractNumId w:val="2"/>
    <w:lvlOverride w:ilvl="0"/>
    <w:lvlOverride w:ilvl="1"/>
    <w:lvlOverride w:ilvl="2"/>
    <w:lvlOverride w:ilvl="3"/>
    <w:lvlOverride w:ilvl="4"/>
    <w:lvlOverride w:ilvl="5"/>
    <w:lvlOverride w:ilvl="6"/>
    <w:lvlOverride w:ilvl="7"/>
    <w:lvlOverride w:ilvl="8"/>
  </w:num>
  <w:num w:numId="4" w16cid:durableId="28991534">
    <w:abstractNumId w:val="1"/>
    <w:lvlOverride w:ilvl="0"/>
    <w:lvlOverride w:ilvl="1"/>
    <w:lvlOverride w:ilvl="2"/>
    <w:lvlOverride w:ilvl="3"/>
    <w:lvlOverride w:ilvl="4"/>
    <w:lvlOverride w:ilvl="5"/>
    <w:lvlOverride w:ilvl="6"/>
    <w:lvlOverride w:ilvl="7"/>
    <w:lvlOverride w:ilvl="8"/>
  </w:num>
  <w:num w:numId="5" w16cid:durableId="1062145195">
    <w:abstractNumId w:val="5"/>
    <w:lvlOverride w:ilvl="0"/>
    <w:lvlOverride w:ilvl="1"/>
    <w:lvlOverride w:ilvl="2"/>
    <w:lvlOverride w:ilvl="3"/>
    <w:lvlOverride w:ilvl="4"/>
    <w:lvlOverride w:ilvl="5"/>
    <w:lvlOverride w:ilvl="6"/>
    <w:lvlOverride w:ilvl="7"/>
    <w:lvlOverride w:ilvl="8"/>
  </w:num>
  <w:num w:numId="6" w16cid:durableId="235744506">
    <w:abstractNumId w:val="4"/>
    <w:lvlOverride w:ilvl="0"/>
    <w:lvlOverride w:ilvl="1"/>
    <w:lvlOverride w:ilvl="2"/>
    <w:lvlOverride w:ilvl="3"/>
    <w:lvlOverride w:ilvl="4"/>
    <w:lvlOverride w:ilvl="5"/>
    <w:lvlOverride w:ilvl="6"/>
    <w:lvlOverride w:ilvl="7"/>
    <w:lvlOverride w:ilvl="8"/>
  </w:num>
  <w:num w:numId="7" w16cid:durableId="27436545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8E8"/>
    <w:rsid w:val="003E2601"/>
    <w:rsid w:val="00965B97"/>
    <w:rsid w:val="00AE7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7BC67"/>
  <w15:chartTrackingRefBased/>
  <w15:docId w15:val="{707949B9-FFB2-430E-9DCB-A5C8E03F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8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8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8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8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8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8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8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8E8"/>
    <w:rPr>
      <w:rFonts w:eastAsiaTheme="majorEastAsia" w:cstheme="majorBidi"/>
      <w:color w:val="272727" w:themeColor="text1" w:themeTint="D8"/>
    </w:rPr>
  </w:style>
  <w:style w:type="paragraph" w:styleId="Title">
    <w:name w:val="Title"/>
    <w:basedOn w:val="Normal"/>
    <w:next w:val="Normal"/>
    <w:link w:val="TitleChar"/>
    <w:uiPriority w:val="10"/>
    <w:qFormat/>
    <w:rsid w:val="00AE7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8E8"/>
    <w:pPr>
      <w:spacing w:before="160"/>
      <w:jc w:val="center"/>
    </w:pPr>
    <w:rPr>
      <w:i/>
      <w:iCs/>
      <w:color w:val="404040" w:themeColor="text1" w:themeTint="BF"/>
    </w:rPr>
  </w:style>
  <w:style w:type="character" w:customStyle="1" w:styleId="QuoteChar">
    <w:name w:val="Quote Char"/>
    <w:basedOn w:val="DefaultParagraphFont"/>
    <w:link w:val="Quote"/>
    <w:uiPriority w:val="29"/>
    <w:rsid w:val="00AE78E8"/>
    <w:rPr>
      <w:i/>
      <w:iCs/>
      <w:color w:val="404040" w:themeColor="text1" w:themeTint="BF"/>
    </w:rPr>
  </w:style>
  <w:style w:type="paragraph" w:styleId="ListParagraph">
    <w:name w:val="List Paragraph"/>
    <w:basedOn w:val="Normal"/>
    <w:uiPriority w:val="34"/>
    <w:qFormat/>
    <w:rsid w:val="00AE78E8"/>
    <w:pPr>
      <w:ind w:left="720"/>
      <w:contextualSpacing/>
    </w:pPr>
  </w:style>
  <w:style w:type="character" w:styleId="IntenseEmphasis">
    <w:name w:val="Intense Emphasis"/>
    <w:basedOn w:val="DefaultParagraphFont"/>
    <w:uiPriority w:val="21"/>
    <w:qFormat/>
    <w:rsid w:val="00AE78E8"/>
    <w:rPr>
      <w:i/>
      <w:iCs/>
      <w:color w:val="0F4761" w:themeColor="accent1" w:themeShade="BF"/>
    </w:rPr>
  </w:style>
  <w:style w:type="paragraph" w:styleId="IntenseQuote">
    <w:name w:val="Intense Quote"/>
    <w:basedOn w:val="Normal"/>
    <w:next w:val="Normal"/>
    <w:link w:val="IntenseQuoteChar"/>
    <w:uiPriority w:val="30"/>
    <w:qFormat/>
    <w:rsid w:val="00AE7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8E8"/>
    <w:rPr>
      <w:i/>
      <w:iCs/>
      <w:color w:val="0F4761" w:themeColor="accent1" w:themeShade="BF"/>
    </w:rPr>
  </w:style>
  <w:style w:type="character" w:styleId="IntenseReference">
    <w:name w:val="Intense Reference"/>
    <w:basedOn w:val="DefaultParagraphFont"/>
    <w:uiPriority w:val="32"/>
    <w:qFormat/>
    <w:rsid w:val="00AE78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1195</TotalTime>
  <Pages>3</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Trubova, Nadia (Education)</dc:creator>
  <cp:keywords/>
  <dc:description/>
  <cp:lastModifiedBy>Trubova, Nadia (Education)</cp:lastModifiedBy>
  <cp:revision>1</cp:revision>
  <dcterms:created xsi:type="dcterms:W3CDTF">2026-09-03T11:17:00Z</dcterms:created>
  <dcterms:modified xsi:type="dcterms:W3CDTF">2026-09-07T09:04:00Z</dcterms:modified>
</cp:coreProperties>
</file>